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C5F" w:rsidRDefault="00AE6C5F">
      <w:pPr>
        <w:ind w:left="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31394D"/>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jc w:val="center"/>
              <w:rPr>
                <w:color w:val="FFFFFF"/>
              </w:rPr>
            </w:pPr>
            <w:r>
              <w:rPr>
                <w:color w:val="FFFFFF"/>
              </w:rPr>
              <w:t>TASK 1 - LIVE THEATRE SCENE</w:t>
            </w:r>
          </w:p>
        </w:tc>
      </w:tr>
    </w:tbl>
    <w:p w:rsidR="00AE6C5F" w:rsidRDefault="00AE6C5F">
      <w:pPr>
        <w:ind w:left="0"/>
      </w:pPr>
    </w:p>
    <w:p w:rsidR="00AE6C5F" w:rsidRDefault="00E567A1">
      <w:pPr>
        <w:ind w:left="0"/>
      </w:pPr>
      <w:r>
        <w:t>Watch the following performance (you should know this well after reading and possibly watching parts of it last year)</w:t>
      </w:r>
    </w:p>
    <w:p w:rsidR="00AE6C5F" w:rsidRDefault="00AE6C5F">
      <w:pPr>
        <w:ind w:left="0"/>
      </w:pPr>
    </w:p>
    <w:p w:rsidR="00AE6C5F" w:rsidRDefault="00E567A1">
      <w:pPr>
        <w:ind w:left="0"/>
      </w:pPr>
      <w:hyperlink r:id="rId7">
        <w:r>
          <w:rPr>
            <w:color w:val="1155CC"/>
            <w:u w:val="single"/>
          </w:rPr>
          <w:t>https://www.youtube.com/watch?v=xOZfY66ewdU</w:t>
        </w:r>
      </w:hyperlink>
    </w:p>
    <w:p w:rsidR="00AE6C5F" w:rsidRDefault="00E567A1">
      <w:pPr>
        <w:ind w:left="0"/>
        <w:rPr>
          <w:i/>
        </w:rPr>
      </w:pPr>
      <w:r>
        <w:rPr>
          <w:i/>
        </w:rPr>
        <w:t>If you are unable to access this - choose a film to watch instead for TASK 3.</w:t>
      </w:r>
    </w:p>
    <w:p w:rsidR="00AE6C5F" w:rsidRDefault="00AE6C5F">
      <w:pPr>
        <w:ind w:left="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31394D"/>
            <w:tcMar>
              <w:top w:w="100" w:type="dxa"/>
              <w:left w:w="100" w:type="dxa"/>
              <w:bottom w:w="100" w:type="dxa"/>
              <w:right w:w="100" w:type="dxa"/>
            </w:tcMar>
          </w:tcPr>
          <w:p w:rsidR="00AE6C5F" w:rsidRDefault="00E567A1">
            <w:pPr>
              <w:widowControl w:val="0"/>
              <w:ind w:left="0" w:right="0"/>
              <w:jc w:val="center"/>
              <w:rPr>
                <w:color w:val="FFFFFF"/>
              </w:rPr>
            </w:pPr>
            <w:r>
              <w:rPr>
                <w:color w:val="FFFFFF"/>
              </w:rPr>
              <w:t>TASK 2 - EXAM CRITERIA - LIVE THEATRE</w:t>
            </w:r>
          </w:p>
        </w:tc>
      </w:tr>
    </w:tbl>
    <w:p w:rsidR="00AE6C5F" w:rsidRDefault="00AE6C5F">
      <w:pPr>
        <w:ind w:left="0"/>
      </w:pPr>
    </w:p>
    <w:p w:rsidR="00AE6C5F" w:rsidRDefault="00E567A1">
      <w:pPr>
        <w:ind w:left="0"/>
      </w:pPr>
      <w:r>
        <w:t>READ THE FOLLOWING EXAM MARKING CRITERIA.</w:t>
      </w:r>
    </w:p>
    <w:p w:rsidR="00AE6C5F" w:rsidRDefault="00AE6C5F">
      <w:pPr>
        <w:ind w:left="0"/>
      </w:pPr>
    </w:p>
    <w:p w:rsidR="00AE6C5F" w:rsidRDefault="00E567A1">
      <w:pPr>
        <w:ind w:left="0"/>
      </w:pPr>
      <w:r>
        <w:t xml:space="preserve">LIVE THEATRE </w:t>
      </w:r>
      <w:proofErr w:type="spellStart"/>
      <w:r>
        <w:t>Qa</w:t>
      </w:r>
      <w:proofErr w:type="spellEnd"/>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7935"/>
      </w:tblGrid>
      <w:tr w:rsidR="00AE6C5F">
        <w:tc>
          <w:tcPr>
            <w:tcW w:w="142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Mark</w:t>
            </w:r>
          </w:p>
        </w:tc>
        <w:tc>
          <w:tcPr>
            <w:tcW w:w="793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Descriptor</w:t>
            </w:r>
          </w:p>
        </w:tc>
      </w:tr>
      <w:tr w:rsidR="00AE6C5F">
        <w:tc>
          <w:tcPr>
            <w:tcW w:w="142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0</w:t>
            </w:r>
          </w:p>
        </w:tc>
        <w:tc>
          <w:tcPr>
            <w:tcW w:w="793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No rewardable material</w:t>
            </w:r>
          </w:p>
        </w:tc>
      </w:tr>
      <w:tr w:rsidR="00AE6C5F">
        <w:tc>
          <w:tcPr>
            <w:tcW w:w="142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1-2</w:t>
            </w:r>
          </w:p>
        </w:tc>
        <w:tc>
          <w:tcPr>
            <w:tcW w:w="7935" w:type="dxa"/>
            <w:shd w:val="clear" w:color="auto" w:fill="auto"/>
            <w:tcMar>
              <w:top w:w="100" w:type="dxa"/>
              <w:left w:w="100" w:type="dxa"/>
              <w:bottom w:w="100" w:type="dxa"/>
              <w:right w:w="100" w:type="dxa"/>
            </w:tcMar>
          </w:tcPr>
          <w:p w:rsidR="00AE6C5F" w:rsidRDefault="00E567A1">
            <w:pPr>
              <w:numPr>
                <w:ilvl w:val="0"/>
                <w:numId w:val="2"/>
              </w:numPr>
            </w:pPr>
            <w:r>
              <w:t>Limited and uneven analysis demonstrating basic knowledge and understanding of the named elements.</w:t>
            </w:r>
          </w:p>
          <w:p w:rsidR="00AE6C5F" w:rsidRDefault="00E567A1">
            <w:pPr>
              <w:numPr>
                <w:ilvl w:val="0"/>
                <w:numId w:val="2"/>
              </w:numPr>
            </w:pPr>
            <w:r>
              <w:t>Basic response which tends to be mainly narrative and reported. Examples are used but are underdeveloped and do not fully support</w:t>
            </w:r>
            <w:r>
              <w:t xml:space="preserve"> analysis.</w:t>
            </w:r>
          </w:p>
          <w:p w:rsidR="00AE6C5F" w:rsidRDefault="00E567A1">
            <w:pPr>
              <w:numPr>
                <w:ilvl w:val="0"/>
                <w:numId w:val="2"/>
              </w:numPr>
            </w:pPr>
            <w:r>
              <w:t>Demonstrates an overall lack of engagement with performance and focus in relation to the specifics of the question. Examples are used but are underdeveloped, with the chosen key moment not sufficiently defined.</w:t>
            </w:r>
          </w:p>
          <w:p w:rsidR="00AE6C5F" w:rsidRDefault="00E567A1">
            <w:pPr>
              <w:numPr>
                <w:ilvl w:val="0"/>
                <w:numId w:val="2"/>
              </w:numPr>
            </w:pPr>
            <w:r>
              <w:t>Basic use of technical and subject</w:t>
            </w:r>
            <w:r>
              <w:t>-specific language which may not always be appropriate.</w:t>
            </w:r>
          </w:p>
        </w:tc>
      </w:tr>
      <w:tr w:rsidR="00AE6C5F">
        <w:tc>
          <w:tcPr>
            <w:tcW w:w="142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3-4</w:t>
            </w:r>
          </w:p>
        </w:tc>
        <w:tc>
          <w:tcPr>
            <w:tcW w:w="7935" w:type="dxa"/>
            <w:shd w:val="clear" w:color="auto" w:fill="auto"/>
            <w:tcMar>
              <w:top w:w="100" w:type="dxa"/>
              <w:left w:w="100" w:type="dxa"/>
              <w:bottom w:w="100" w:type="dxa"/>
              <w:right w:w="100" w:type="dxa"/>
            </w:tcMar>
          </w:tcPr>
          <w:p w:rsidR="00AE6C5F" w:rsidRDefault="00E567A1">
            <w:pPr>
              <w:numPr>
                <w:ilvl w:val="0"/>
                <w:numId w:val="3"/>
              </w:numPr>
            </w:pPr>
            <w:r>
              <w:t>Competent and generally balanced analysis demonstrating appropriate knowledge and understanding of the named elements.</w:t>
            </w:r>
          </w:p>
          <w:p w:rsidR="00AE6C5F" w:rsidRDefault="00E567A1">
            <w:pPr>
              <w:numPr>
                <w:ilvl w:val="0"/>
                <w:numId w:val="3"/>
              </w:numPr>
            </w:pPr>
            <w:r>
              <w:t>Response is clearly expressed in some detail. Examples used to clearly support analysis.</w:t>
            </w:r>
          </w:p>
          <w:p w:rsidR="00AE6C5F" w:rsidRDefault="00E567A1">
            <w:pPr>
              <w:numPr>
                <w:ilvl w:val="0"/>
                <w:numId w:val="3"/>
              </w:numPr>
            </w:pPr>
            <w:r>
              <w:t>Demonstrates a competent level of engagement with the performance and focus in relation to the specifics of the question.</w:t>
            </w:r>
          </w:p>
          <w:p w:rsidR="00AE6C5F" w:rsidRDefault="00E567A1">
            <w:pPr>
              <w:numPr>
                <w:ilvl w:val="0"/>
                <w:numId w:val="3"/>
              </w:numPr>
            </w:pPr>
            <w:r>
              <w:t>Appropriate use of technical and subject-spec</w:t>
            </w:r>
            <w:r>
              <w:t>ific language.</w:t>
            </w:r>
          </w:p>
        </w:tc>
      </w:tr>
      <w:tr w:rsidR="00AE6C5F">
        <w:tc>
          <w:tcPr>
            <w:tcW w:w="1425" w:type="dxa"/>
            <w:shd w:val="clear" w:color="auto" w:fill="auto"/>
            <w:tcMar>
              <w:top w:w="100" w:type="dxa"/>
              <w:left w:w="100" w:type="dxa"/>
              <w:bottom w:w="100" w:type="dxa"/>
              <w:right w:w="100" w:type="dxa"/>
            </w:tcMar>
          </w:tcPr>
          <w:p w:rsidR="00AE6C5F" w:rsidRDefault="00E567A1">
            <w:pPr>
              <w:widowControl w:val="0"/>
              <w:pBdr>
                <w:top w:val="nil"/>
                <w:left w:val="nil"/>
                <w:bottom w:val="nil"/>
                <w:right w:val="nil"/>
                <w:between w:val="nil"/>
              </w:pBdr>
              <w:ind w:left="0" w:right="0"/>
            </w:pPr>
            <w:r>
              <w:t>5-6</w:t>
            </w:r>
          </w:p>
        </w:tc>
        <w:tc>
          <w:tcPr>
            <w:tcW w:w="7935" w:type="dxa"/>
            <w:shd w:val="clear" w:color="auto" w:fill="auto"/>
            <w:tcMar>
              <w:top w:w="100" w:type="dxa"/>
              <w:left w:w="100" w:type="dxa"/>
              <w:bottom w:w="100" w:type="dxa"/>
              <w:right w:w="100" w:type="dxa"/>
            </w:tcMar>
          </w:tcPr>
          <w:p w:rsidR="00AE6C5F" w:rsidRDefault="00E567A1">
            <w:pPr>
              <w:numPr>
                <w:ilvl w:val="0"/>
                <w:numId w:val="1"/>
              </w:numPr>
            </w:pPr>
            <w:r>
              <w:t>Confident, balanced and thorough analysis that demonstrates assured knowledge and understanding of the named elements.</w:t>
            </w:r>
          </w:p>
          <w:p w:rsidR="00AE6C5F" w:rsidRDefault="00E567A1">
            <w:pPr>
              <w:numPr>
                <w:ilvl w:val="0"/>
                <w:numId w:val="1"/>
              </w:numPr>
            </w:pPr>
            <w:r>
              <w:t>Response is comprehensive and detailed. Examples used are well-developed and fully support analysis.</w:t>
            </w:r>
          </w:p>
          <w:p w:rsidR="00AE6C5F" w:rsidRDefault="00E567A1">
            <w:pPr>
              <w:numPr>
                <w:ilvl w:val="0"/>
                <w:numId w:val="1"/>
              </w:numPr>
            </w:pPr>
            <w:r>
              <w:t>Demonstrates a c</w:t>
            </w:r>
            <w:r>
              <w:t>omprehensive level of engagement with the performance and focus relation to the specifics of the question.</w:t>
            </w:r>
          </w:p>
          <w:p w:rsidR="00AE6C5F" w:rsidRDefault="00E567A1">
            <w:pPr>
              <w:numPr>
                <w:ilvl w:val="0"/>
                <w:numId w:val="1"/>
              </w:numPr>
            </w:pPr>
            <w:r>
              <w:t>Confident use of technical and subject-specific language.</w:t>
            </w:r>
          </w:p>
        </w:tc>
      </w:tr>
    </w:tbl>
    <w:p w:rsidR="00AE6C5F" w:rsidRDefault="00AE6C5F">
      <w:pPr>
        <w:ind w:left="0"/>
      </w:pPr>
    </w:p>
    <w:p w:rsidR="00E567A1" w:rsidRDefault="00E567A1">
      <w:pPr>
        <w:ind w:left="0"/>
      </w:pPr>
    </w:p>
    <w:p w:rsidR="00AE6C5F" w:rsidRDefault="00E567A1">
      <w:pPr>
        <w:ind w:left="0"/>
      </w:pPr>
      <w:r>
        <w:t xml:space="preserve">LIVE THEATRE </w:t>
      </w:r>
      <w:proofErr w:type="spellStart"/>
      <w:r>
        <w:t>Qb</w:t>
      </w:r>
      <w:proofErr w:type="spellEnd"/>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7935"/>
      </w:tblGrid>
      <w:tr w:rsidR="00AE6C5F">
        <w:tc>
          <w:tcPr>
            <w:tcW w:w="1425" w:type="dxa"/>
            <w:shd w:val="clear" w:color="auto" w:fill="auto"/>
            <w:tcMar>
              <w:top w:w="100" w:type="dxa"/>
              <w:left w:w="100" w:type="dxa"/>
              <w:bottom w:w="100" w:type="dxa"/>
              <w:right w:w="100" w:type="dxa"/>
            </w:tcMar>
          </w:tcPr>
          <w:p w:rsidR="00AE6C5F" w:rsidRDefault="00E567A1">
            <w:pPr>
              <w:widowControl w:val="0"/>
              <w:ind w:left="0" w:right="0"/>
            </w:pPr>
            <w:r>
              <w:lastRenderedPageBreak/>
              <w:t>Mark</w:t>
            </w:r>
          </w:p>
        </w:tc>
        <w:tc>
          <w:tcPr>
            <w:tcW w:w="7935" w:type="dxa"/>
            <w:shd w:val="clear" w:color="auto" w:fill="auto"/>
            <w:tcMar>
              <w:top w:w="100" w:type="dxa"/>
              <w:left w:w="100" w:type="dxa"/>
              <w:bottom w:w="100" w:type="dxa"/>
              <w:right w:w="100" w:type="dxa"/>
            </w:tcMar>
          </w:tcPr>
          <w:p w:rsidR="00AE6C5F" w:rsidRDefault="00E567A1">
            <w:pPr>
              <w:widowControl w:val="0"/>
              <w:ind w:left="0" w:right="0"/>
            </w:pPr>
            <w:r>
              <w:t>Descriptor</w:t>
            </w:r>
          </w:p>
        </w:tc>
      </w:tr>
      <w:tr w:rsidR="00AE6C5F">
        <w:tc>
          <w:tcPr>
            <w:tcW w:w="1425" w:type="dxa"/>
            <w:shd w:val="clear" w:color="auto" w:fill="auto"/>
            <w:tcMar>
              <w:top w:w="100" w:type="dxa"/>
              <w:left w:w="100" w:type="dxa"/>
              <w:bottom w:w="100" w:type="dxa"/>
              <w:right w:w="100" w:type="dxa"/>
            </w:tcMar>
          </w:tcPr>
          <w:p w:rsidR="00AE6C5F" w:rsidRDefault="00E567A1">
            <w:pPr>
              <w:widowControl w:val="0"/>
              <w:ind w:left="0" w:right="0"/>
            </w:pPr>
            <w:r>
              <w:t>0</w:t>
            </w:r>
          </w:p>
        </w:tc>
        <w:tc>
          <w:tcPr>
            <w:tcW w:w="7935" w:type="dxa"/>
            <w:shd w:val="clear" w:color="auto" w:fill="auto"/>
            <w:tcMar>
              <w:top w:w="100" w:type="dxa"/>
              <w:left w:w="100" w:type="dxa"/>
              <w:bottom w:w="100" w:type="dxa"/>
              <w:right w:w="100" w:type="dxa"/>
            </w:tcMar>
          </w:tcPr>
          <w:p w:rsidR="00AE6C5F" w:rsidRDefault="00E567A1">
            <w:pPr>
              <w:widowControl w:val="0"/>
              <w:ind w:left="0" w:right="0"/>
            </w:pPr>
            <w:r>
              <w:t>No rewardable material</w:t>
            </w:r>
          </w:p>
        </w:tc>
      </w:tr>
      <w:tr w:rsidR="00AE6C5F">
        <w:tc>
          <w:tcPr>
            <w:tcW w:w="1425" w:type="dxa"/>
            <w:shd w:val="clear" w:color="auto" w:fill="auto"/>
            <w:tcMar>
              <w:top w:w="100" w:type="dxa"/>
              <w:left w:w="100" w:type="dxa"/>
              <w:bottom w:w="100" w:type="dxa"/>
              <w:right w:w="100" w:type="dxa"/>
            </w:tcMar>
          </w:tcPr>
          <w:p w:rsidR="00AE6C5F" w:rsidRDefault="00E567A1">
            <w:pPr>
              <w:widowControl w:val="0"/>
              <w:ind w:left="0" w:right="0"/>
            </w:pPr>
            <w:r>
              <w:t>1-3</w:t>
            </w:r>
          </w:p>
        </w:tc>
        <w:tc>
          <w:tcPr>
            <w:tcW w:w="7935" w:type="dxa"/>
            <w:shd w:val="clear" w:color="auto" w:fill="auto"/>
            <w:tcMar>
              <w:top w:w="100" w:type="dxa"/>
              <w:left w:w="100" w:type="dxa"/>
              <w:bottom w:w="100" w:type="dxa"/>
              <w:right w:w="100" w:type="dxa"/>
            </w:tcMar>
          </w:tcPr>
          <w:p w:rsidR="00AE6C5F" w:rsidRDefault="00E567A1">
            <w:pPr>
              <w:numPr>
                <w:ilvl w:val="0"/>
                <w:numId w:val="2"/>
              </w:numPr>
            </w:pPr>
            <w:r>
              <w:t>Basic analysis and uneven evaluation demonstrating basic knowledge and understanding.</w:t>
            </w:r>
          </w:p>
          <w:p w:rsidR="00AE6C5F" w:rsidRDefault="00E567A1">
            <w:pPr>
              <w:numPr>
                <w:ilvl w:val="0"/>
                <w:numId w:val="2"/>
              </w:numPr>
            </w:pPr>
            <w:r>
              <w:t>Basic response which tends to be mainly narrative and reported. Examples are used but are underdeveloped and do not fully support the evaluation.</w:t>
            </w:r>
          </w:p>
          <w:p w:rsidR="00AE6C5F" w:rsidRDefault="00E567A1">
            <w:pPr>
              <w:numPr>
                <w:ilvl w:val="0"/>
                <w:numId w:val="2"/>
              </w:numPr>
            </w:pPr>
            <w:r>
              <w:t xml:space="preserve">Demonstrates an overall </w:t>
            </w:r>
            <w:r>
              <w:t>lack of engagement with the performance and focus in relation to the specifics of the question.</w:t>
            </w:r>
          </w:p>
          <w:p w:rsidR="00AE6C5F" w:rsidRDefault="00E567A1">
            <w:pPr>
              <w:numPr>
                <w:ilvl w:val="0"/>
                <w:numId w:val="2"/>
              </w:numPr>
            </w:pPr>
            <w:r>
              <w:t xml:space="preserve">Basic use of technical and subject-specific language which may not always be appropriate.  </w:t>
            </w:r>
          </w:p>
        </w:tc>
      </w:tr>
      <w:tr w:rsidR="00AE6C5F">
        <w:tc>
          <w:tcPr>
            <w:tcW w:w="1425" w:type="dxa"/>
            <w:shd w:val="clear" w:color="auto" w:fill="auto"/>
            <w:tcMar>
              <w:top w:w="100" w:type="dxa"/>
              <w:left w:w="100" w:type="dxa"/>
              <w:bottom w:w="100" w:type="dxa"/>
              <w:right w:w="100" w:type="dxa"/>
            </w:tcMar>
          </w:tcPr>
          <w:p w:rsidR="00AE6C5F" w:rsidRDefault="00E567A1">
            <w:pPr>
              <w:widowControl w:val="0"/>
              <w:ind w:left="0" w:right="0"/>
            </w:pPr>
            <w:r>
              <w:t>4-6</w:t>
            </w:r>
          </w:p>
        </w:tc>
        <w:tc>
          <w:tcPr>
            <w:tcW w:w="7935" w:type="dxa"/>
            <w:shd w:val="clear" w:color="auto" w:fill="auto"/>
            <w:tcMar>
              <w:top w:w="100" w:type="dxa"/>
              <w:left w:w="100" w:type="dxa"/>
              <w:bottom w:w="100" w:type="dxa"/>
              <w:right w:w="100" w:type="dxa"/>
            </w:tcMar>
          </w:tcPr>
          <w:p w:rsidR="00AE6C5F" w:rsidRDefault="00E567A1">
            <w:pPr>
              <w:numPr>
                <w:ilvl w:val="0"/>
                <w:numId w:val="3"/>
              </w:numPr>
            </w:pPr>
            <w:r>
              <w:t>Competent and generally balanced evaluation based on adequate a</w:t>
            </w:r>
            <w:r>
              <w:t>nalysis which presents personal conclusions with some justification, demonstrating appropriate knowledge and understanding.</w:t>
            </w:r>
          </w:p>
          <w:p w:rsidR="00AE6C5F" w:rsidRDefault="00E567A1">
            <w:pPr>
              <w:numPr>
                <w:ilvl w:val="0"/>
                <w:numId w:val="3"/>
              </w:numPr>
            </w:pPr>
            <w:r>
              <w:t>Response is clearly expressed in some detail. Examples used clearly support evaluation and conclusions.</w:t>
            </w:r>
          </w:p>
          <w:p w:rsidR="00AE6C5F" w:rsidRDefault="00E567A1">
            <w:pPr>
              <w:numPr>
                <w:ilvl w:val="0"/>
                <w:numId w:val="3"/>
              </w:numPr>
            </w:pPr>
            <w:r>
              <w:t>Demonstrates a competent lev</w:t>
            </w:r>
            <w:r>
              <w:t>el of engagement with the performance and focus in relation to the specifics of the question.</w:t>
            </w:r>
          </w:p>
          <w:p w:rsidR="00AE6C5F" w:rsidRDefault="00E567A1">
            <w:pPr>
              <w:numPr>
                <w:ilvl w:val="0"/>
                <w:numId w:val="3"/>
              </w:numPr>
            </w:pPr>
            <w:r>
              <w:t>Appropriate use of technical and subject-specific language. .</w:t>
            </w:r>
          </w:p>
        </w:tc>
      </w:tr>
      <w:tr w:rsidR="00AE6C5F">
        <w:tc>
          <w:tcPr>
            <w:tcW w:w="1425" w:type="dxa"/>
            <w:shd w:val="clear" w:color="auto" w:fill="auto"/>
            <w:tcMar>
              <w:top w:w="100" w:type="dxa"/>
              <w:left w:w="100" w:type="dxa"/>
              <w:bottom w:w="100" w:type="dxa"/>
              <w:right w:w="100" w:type="dxa"/>
            </w:tcMar>
          </w:tcPr>
          <w:p w:rsidR="00AE6C5F" w:rsidRDefault="00E567A1">
            <w:pPr>
              <w:widowControl w:val="0"/>
              <w:ind w:left="0" w:right="0"/>
            </w:pPr>
            <w:r>
              <w:t>7-9</w:t>
            </w:r>
          </w:p>
        </w:tc>
        <w:tc>
          <w:tcPr>
            <w:tcW w:w="7935" w:type="dxa"/>
            <w:shd w:val="clear" w:color="auto" w:fill="auto"/>
            <w:tcMar>
              <w:top w:w="100" w:type="dxa"/>
              <w:left w:w="100" w:type="dxa"/>
              <w:bottom w:w="100" w:type="dxa"/>
              <w:right w:w="100" w:type="dxa"/>
            </w:tcMar>
          </w:tcPr>
          <w:p w:rsidR="00AE6C5F" w:rsidRDefault="00E567A1">
            <w:pPr>
              <w:numPr>
                <w:ilvl w:val="0"/>
                <w:numId w:val="1"/>
              </w:numPr>
            </w:pPr>
            <w:r>
              <w:t>Confident, balanced and thorough evaluation based on effective analysis which presents considered personal conclusions that are fully justified, demonstrating comprehensive knowledge and understanding.</w:t>
            </w:r>
          </w:p>
          <w:p w:rsidR="00AE6C5F" w:rsidRDefault="00E567A1">
            <w:pPr>
              <w:numPr>
                <w:ilvl w:val="0"/>
                <w:numId w:val="1"/>
              </w:numPr>
            </w:pPr>
            <w:r>
              <w:t>Response is assured and detailed. Examples used are we</w:t>
            </w:r>
            <w:r>
              <w:t>ll developed and fully support evaluation and conclusions.</w:t>
            </w:r>
          </w:p>
          <w:p w:rsidR="00AE6C5F" w:rsidRDefault="00E567A1">
            <w:pPr>
              <w:numPr>
                <w:ilvl w:val="0"/>
                <w:numId w:val="1"/>
              </w:numPr>
            </w:pPr>
            <w:r>
              <w:t>Demonstrates a comprehensive level of engagement with the production and focus in relation to the specifics of the question.</w:t>
            </w:r>
          </w:p>
          <w:p w:rsidR="00AE6C5F" w:rsidRDefault="00E567A1">
            <w:pPr>
              <w:numPr>
                <w:ilvl w:val="0"/>
                <w:numId w:val="1"/>
              </w:numPr>
            </w:pPr>
            <w:r>
              <w:t>Confident use of technical and subject-specific language.</w:t>
            </w:r>
          </w:p>
        </w:tc>
      </w:tr>
    </w:tbl>
    <w:p w:rsidR="00AE6C5F" w:rsidRDefault="00AE6C5F">
      <w:pPr>
        <w:ind w:left="0"/>
      </w:pPr>
    </w:p>
    <w:p w:rsidR="00AE6C5F" w:rsidRDefault="00E567A1">
      <w:pPr>
        <w:ind w:left="0"/>
      </w:pPr>
      <w:r>
        <w:t>Write 2 targ</w:t>
      </w:r>
      <w:r>
        <w:t>ets for each answer based on the criteria above to ensure you meet the criteria in your practice exam answers</w:t>
      </w:r>
    </w:p>
    <w:p w:rsidR="00AE6C5F" w:rsidRDefault="00AE6C5F">
      <w:pPr>
        <w:ind w:left="0"/>
      </w:pPr>
    </w:p>
    <w:p w:rsidR="00AE6C5F" w:rsidRDefault="00E567A1">
      <w:pPr>
        <w:ind w:left="0"/>
      </w:pPr>
      <w:proofErr w:type="spellStart"/>
      <w:r>
        <w:t>Qa</w:t>
      </w:r>
      <w:proofErr w:type="spellEnd"/>
      <w:r>
        <w:t xml:space="preserve"> Target 1-</w:t>
      </w:r>
    </w:p>
    <w:p w:rsidR="00AE6C5F" w:rsidRDefault="00AE6C5F">
      <w:pPr>
        <w:ind w:left="0"/>
      </w:pPr>
    </w:p>
    <w:p w:rsidR="00AE6C5F" w:rsidRDefault="00AE6C5F">
      <w:pPr>
        <w:ind w:left="0"/>
      </w:pPr>
    </w:p>
    <w:p w:rsidR="00AE6C5F" w:rsidRDefault="00E567A1">
      <w:pPr>
        <w:ind w:left="0"/>
      </w:pPr>
      <w:proofErr w:type="spellStart"/>
      <w:r>
        <w:t>Qa</w:t>
      </w:r>
      <w:proofErr w:type="spellEnd"/>
      <w:r>
        <w:t xml:space="preserve"> Target 2-</w:t>
      </w:r>
    </w:p>
    <w:p w:rsidR="00AE6C5F" w:rsidRDefault="00AE6C5F">
      <w:pPr>
        <w:ind w:left="0"/>
      </w:pPr>
    </w:p>
    <w:p w:rsidR="00AE6C5F" w:rsidRDefault="00AE6C5F">
      <w:pPr>
        <w:ind w:left="0"/>
      </w:pPr>
    </w:p>
    <w:p w:rsidR="00AE6C5F" w:rsidRDefault="00E567A1">
      <w:pPr>
        <w:ind w:left="0"/>
      </w:pPr>
      <w:proofErr w:type="spellStart"/>
      <w:r>
        <w:t>Qb</w:t>
      </w:r>
      <w:proofErr w:type="spellEnd"/>
      <w:r>
        <w:t xml:space="preserve"> Target 1-</w:t>
      </w:r>
    </w:p>
    <w:p w:rsidR="00AE6C5F" w:rsidRDefault="00AE6C5F">
      <w:pPr>
        <w:ind w:left="0"/>
      </w:pPr>
    </w:p>
    <w:p w:rsidR="00AE6C5F" w:rsidRDefault="00AE6C5F">
      <w:pPr>
        <w:ind w:left="0"/>
      </w:pPr>
    </w:p>
    <w:p w:rsidR="00AE6C5F" w:rsidRDefault="00E567A1">
      <w:pPr>
        <w:ind w:left="0"/>
      </w:pPr>
      <w:proofErr w:type="spellStart"/>
      <w:r>
        <w:t>Qb</w:t>
      </w:r>
      <w:proofErr w:type="spellEnd"/>
      <w:r>
        <w:t xml:space="preserve"> Target 2-</w:t>
      </w:r>
    </w:p>
    <w:p w:rsidR="00E567A1" w:rsidRDefault="00E567A1">
      <w:pPr>
        <w:ind w:left="0"/>
      </w:pPr>
    </w:p>
    <w:p w:rsidR="00E567A1" w:rsidRDefault="00E567A1">
      <w:pPr>
        <w:ind w:left="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31394D"/>
            <w:tcMar>
              <w:top w:w="100" w:type="dxa"/>
              <w:left w:w="100" w:type="dxa"/>
              <w:bottom w:w="100" w:type="dxa"/>
              <w:right w:w="100" w:type="dxa"/>
            </w:tcMar>
          </w:tcPr>
          <w:p w:rsidR="00AE6C5F" w:rsidRDefault="00E567A1">
            <w:pPr>
              <w:widowControl w:val="0"/>
              <w:ind w:left="0" w:right="0"/>
              <w:jc w:val="center"/>
              <w:rPr>
                <w:color w:val="FFFFFF"/>
              </w:rPr>
            </w:pPr>
            <w:r>
              <w:rPr>
                <w:color w:val="FFFFFF"/>
              </w:rPr>
              <w:t>TASK 3 - EXAM QUESTION - LIVE THEATRE</w:t>
            </w:r>
          </w:p>
        </w:tc>
      </w:tr>
    </w:tbl>
    <w:p w:rsidR="00AE6C5F" w:rsidRDefault="00AE6C5F">
      <w:pPr>
        <w:ind w:left="0"/>
      </w:pPr>
    </w:p>
    <w:p w:rsidR="00AE6C5F" w:rsidRDefault="00E567A1">
      <w:pPr>
        <w:ind w:left="0"/>
      </w:pPr>
      <w:r>
        <w:lastRenderedPageBreak/>
        <w:t>Answer the following practice exam questions.</w:t>
      </w:r>
    </w:p>
    <w:p w:rsidR="00AE6C5F" w:rsidRDefault="00AE6C5F">
      <w:pPr>
        <w:ind w:left="0"/>
      </w:pPr>
    </w:p>
    <w:p w:rsidR="00AE6C5F" w:rsidRDefault="00E567A1">
      <w:pPr>
        <w:ind w:left="0"/>
        <w:jc w:val="center"/>
        <w:rPr>
          <w:b/>
        </w:rPr>
      </w:pPr>
      <w:r>
        <w:rPr>
          <w:b/>
        </w:rPr>
        <w:t>SECTION B: LIVE THEATRE EVALUATION</w:t>
      </w:r>
    </w:p>
    <w:p w:rsidR="00AE6C5F" w:rsidRDefault="00AE6C5F">
      <w:pPr>
        <w:ind w:left="0"/>
        <w:jc w:val="center"/>
        <w:rPr>
          <w:b/>
        </w:rPr>
      </w:pPr>
    </w:p>
    <w:p w:rsidR="00AE6C5F" w:rsidRDefault="00E567A1">
      <w:pPr>
        <w:ind w:left="0"/>
      </w:pPr>
      <w:r>
        <w:t>Answer both questions on the scene you have seen.</w:t>
      </w:r>
    </w:p>
    <w:p w:rsidR="00AE6C5F" w:rsidRDefault="00AE6C5F">
      <w:pPr>
        <w:ind w:left="0"/>
      </w:pPr>
    </w:p>
    <w:p w:rsidR="00AE6C5F" w:rsidRDefault="00E567A1">
      <w:pPr>
        <w:ind w:left="720"/>
      </w:pPr>
      <w:r>
        <w:t xml:space="preserve">(a) Analyse how vocal techniques were </w:t>
      </w:r>
      <w:r>
        <w:t>used to engage the audience during the opening moments of the performance.</w:t>
      </w:r>
    </w:p>
    <w:p w:rsidR="00AE6C5F" w:rsidRDefault="00E567A1">
      <w:pPr>
        <w:ind w:left="6480" w:firstLine="720"/>
      </w:pPr>
      <w:r>
        <w:t>(6 marks)</w:t>
      </w:r>
    </w:p>
    <w:p w:rsidR="00AE6C5F" w:rsidRDefault="00AE6C5F">
      <w:pPr>
        <w:ind w:left="6480" w:firstLine="720"/>
      </w:pPr>
    </w:p>
    <w:p w:rsidR="00AE6C5F" w:rsidRDefault="00E567A1">
      <w:pPr>
        <w:ind w:left="720"/>
      </w:pPr>
      <w:r>
        <w:t xml:space="preserve"> (b) Evaluate how costume is used in the performance to create additional meaning and impact for the audience.</w:t>
      </w:r>
    </w:p>
    <w:p w:rsidR="00AE6C5F" w:rsidRDefault="00E567A1">
      <w:pPr>
        <w:ind w:left="6480" w:firstLine="720"/>
      </w:pPr>
      <w:r>
        <w:t>(9 marks)</w:t>
      </w:r>
    </w:p>
    <w:p w:rsidR="00AE6C5F" w:rsidRDefault="00AE6C5F">
      <w:pPr>
        <w:ind w:left="0"/>
      </w:pPr>
    </w:p>
    <w:p w:rsidR="00AE6C5F" w:rsidRDefault="00AE6C5F">
      <w:pPr>
        <w:ind w:left="0"/>
      </w:pPr>
    </w:p>
    <w:p w:rsidR="00AE6C5F" w:rsidRDefault="00E567A1">
      <w:pPr>
        <w:ind w:left="0"/>
      </w:pPr>
      <w:r>
        <w:t>Question (a)</w:t>
      </w:r>
    </w:p>
    <w:p w:rsidR="00AE6C5F" w:rsidRDefault="00AE6C5F">
      <w:pPr>
        <w:ind w:left="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pBdr>
                <w:top w:val="nil"/>
                <w:left w:val="nil"/>
                <w:bottom w:val="nil"/>
                <w:right w:val="nil"/>
                <w:between w:val="nil"/>
              </w:pBdr>
              <w:ind w:left="0" w:right="0"/>
            </w:pPr>
          </w:p>
        </w:tc>
      </w:tr>
    </w:tbl>
    <w:p w:rsidR="00AE6C5F" w:rsidRDefault="00AE6C5F">
      <w:pPr>
        <w:ind w:left="0"/>
      </w:pPr>
    </w:p>
    <w:p w:rsidR="00E567A1" w:rsidRDefault="00E567A1">
      <w:pPr>
        <w:ind w:left="0"/>
      </w:pPr>
    </w:p>
    <w:p w:rsidR="00E567A1" w:rsidRDefault="00E567A1">
      <w:pPr>
        <w:ind w:left="0"/>
      </w:pPr>
    </w:p>
    <w:p w:rsidR="00AE6C5F" w:rsidRDefault="00E567A1">
      <w:pPr>
        <w:ind w:left="0"/>
      </w:pPr>
      <w:r>
        <w:t>Question (b)</w:t>
      </w:r>
    </w:p>
    <w:p w:rsidR="00AE6C5F" w:rsidRDefault="00AE6C5F">
      <w:pPr>
        <w:ind w:left="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r w:rsidR="00E567A1">
        <w:tc>
          <w:tcPr>
            <w:tcW w:w="9360" w:type="dxa"/>
            <w:shd w:val="clear" w:color="auto" w:fill="auto"/>
            <w:tcMar>
              <w:top w:w="100" w:type="dxa"/>
              <w:left w:w="100" w:type="dxa"/>
              <w:bottom w:w="100" w:type="dxa"/>
              <w:right w:w="100" w:type="dxa"/>
            </w:tcMar>
          </w:tcPr>
          <w:p w:rsidR="00E567A1" w:rsidRDefault="00E567A1">
            <w:pPr>
              <w:widowControl w:val="0"/>
              <w:ind w:left="0" w:right="0"/>
            </w:pPr>
          </w:p>
        </w:tc>
      </w:tr>
      <w:tr w:rsidR="00E567A1">
        <w:tc>
          <w:tcPr>
            <w:tcW w:w="9360" w:type="dxa"/>
            <w:shd w:val="clear" w:color="auto" w:fill="auto"/>
            <w:tcMar>
              <w:top w:w="100" w:type="dxa"/>
              <w:left w:w="100" w:type="dxa"/>
              <w:bottom w:w="100" w:type="dxa"/>
              <w:right w:w="100" w:type="dxa"/>
            </w:tcMar>
          </w:tcPr>
          <w:p w:rsidR="00E567A1" w:rsidRDefault="00E567A1">
            <w:pPr>
              <w:widowControl w:val="0"/>
              <w:ind w:left="0" w:right="0"/>
            </w:pPr>
            <w:bookmarkStart w:id="0" w:name="_GoBack"/>
            <w:bookmarkEnd w:id="0"/>
          </w:p>
        </w:tc>
      </w:tr>
      <w:tr w:rsidR="00AE6C5F">
        <w:tc>
          <w:tcPr>
            <w:tcW w:w="9360" w:type="dxa"/>
            <w:shd w:val="clear" w:color="auto" w:fill="auto"/>
            <w:tcMar>
              <w:top w:w="100" w:type="dxa"/>
              <w:left w:w="100" w:type="dxa"/>
              <w:bottom w:w="100" w:type="dxa"/>
              <w:right w:w="100" w:type="dxa"/>
            </w:tcMar>
          </w:tcPr>
          <w:p w:rsidR="00AE6C5F" w:rsidRDefault="00AE6C5F">
            <w:pPr>
              <w:widowControl w:val="0"/>
              <w:ind w:left="0" w:right="0"/>
            </w:pPr>
          </w:p>
        </w:tc>
      </w:tr>
    </w:tbl>
    <w:p w:rsidR="00AE6C5F" w:rsidRDefault="00AE6C5F">
      <w:pPr>
        <w:ind w:left="0"/>
      </w:pPr>
    </w:p>
    <w:sectPr w:rsidR="00AE6C5F">
      <w:head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67A1">
      <w:r>
        <w:separator/>
      </w:r>
    </w:p>
  </w:endnote>
  <w:endnote w:type="continuationSeparator" w:id="0">
    <w:p w:rsidR="00000000" w:rsidRDefault="00E5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Merriweather">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5F" w:rsidRDefault="00AE6C5F">
    <w:pPr>
      <w:ind w:left="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67A1">
      <w:r>
        <w:separator/>
      </w:r>
    </w:p>
  </w:footnote>
  <w:footnote w:type="continuationSeparator" w:id="0">
    <w:p w:rsidR="00000000" w:rsidRDefault="00E5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5F" w:rsidRDefault="00E567A1">
    <w:pPr>
      <w:ind w:left="0"/>
      <w:rPr>
        <w:color w:val="B7B7B7"/>
      </w:rPr>
    </w:pPr>
    <w:r>
      <w:rPr>
        <w:noProof/>
      </w:rPr>
      <mc:AlternateContent>
        <mc:Choice Requires="wpg">
          <w:drawing>
            <wp:anchor distT="0" distB="0" distL="0" distR="0" simplePos="0" relativeHeight="251658240" behindDoc="0" locked="0" layoutInCell="1" hidden="0" allowOverlap="1">
              <wp:simplePos x="0" y="0"/>
              <wp:positionH relativeFrom="column">
                <wp:posOffset>-914399</wp:posOffset>
              </wp:positionH>
              <wp:positionV relativeFrom="paragraph">
                <wp:posOffset>-66674</wp:posOffset>
              </wp:positionV>
              <wp:extent cx="7772400" cy="651600"/>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7772400" cy="651600"/>
                        <a:chOff x="3936388" y="2566450"/>
                        <a:chExt cx="4319225" cy="1291350"/>
                      </a:xfrm>
                    </wpg:grpSpPr>
                    <wps:wsp>
                      <wps:cNvPr id="2" name="Freeform 2"/>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3" name="Right Triangle 3"/>
                      <wps:cNvSpPr/>
                      <wps:spPr>
                        <a:xfrm rot="10800000" flipH="1">
                          <a:off x="3936388" y="2566650"/>
                          <a:ext cx="4319100" cy="1238400"/>
                        </a:xfrm>
                        <a:prstGeom prst="rtTriangle">
                          <a:avLst/>
                        </a:prstGeom>
                        <a:solidFill>
                          <a:srgbClr val="31394D"/>
                        </a:solidFill>
                        <a:ln>
                          <a:noFill/>
                        </a:ln>
                      </wps:spPr>
                      <wps:txbx>
                        <w:txbxContent>
                          <w:p w:rsidR="00AE6C5F" w:rsidRDefault="00AE6C5F">
                            <w:pPr>
                              <w:ind w:left="0" w:right="0"/>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72400" cy="6516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72400" cy="6516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5F" w:rsidRDefault="00E567A1">
    <w:pPr>
      <w:spacing w:line="276" w:lineRule="auto"/>
      <w:ind w:left="0"/>
      <w:rPr>
        <w:color w:val="31394D"/>
        <w:sz w:val="28"/>
        <w:szCs w:val="28"/>
      </w:rPr>
    </w:pPr>
    <w:r>
      <w:rPr>
        <w:color w:val="31394D"/>
        <w:sz w:val="28"/>
        <w:szCs w:val="28"/>
      </w:rPr>
      <w:t xml:space="preserve">Drama </w:t>
    </w:r>
    <w:r>
      <w:rPr>
        <w:color w:val="31394D"/>
        <w:sz w:val="28"/>
        <w:szCs w:val="28"/>
      </w:rPr>
      <w:t>- Year 10 2020 - Home Learning Tasks</w:t>
    </w:r>
    <w:r>
      <w:rPr>
        <w:noProof/>
      </w:rPr>
      <mc:AlternateContent>
        <mc:Choice Requires="wpg">
          <w:drawing>
            <wp:anchor distT="0" distB="0" distL="0" distR="0" simplePos="0" relativeHeight="251659264" behindDoc="0" locked="0" layoutInCell="1" hidden="0" allowOverlap="1">
              <wp:simplePos x="0" y="0"/>
              <wp:positionH relativeFrom="column">
                <wp:posOffset>-914399</wp:posOffset>
              </wp:positionH>
              <wp:positionV relativeFrom="paragraph">
                <wp:posOffset>-66674</wp:posOffset>
              </wp:positionV>
              <wp:extent cx="7772400" cy="652463"/>
              <wp:effectExtent l="0" t="0" r="0" b="0"/>
              <wp:wrapSquare wrapText="bothSides" distT="0" distB="0" distL="0" distR="0"/>
              <wp:docPr id="2" name=""/>
              <wp:cNvGraphicFramePr/>
              <a:graphic xmlns:a="http://schemas.openxmlformats.org/drawingml/2006/main">
                <a:graphicData uri="http://schemas.microsoft.com/office/word/2010/wordprocessingGroup">
                  <wpg:wgp>
                    <wpg:cNvGrpSpPr/>
                    <wpg:grpSpPr>
                      <a:xfrm>
                        <a:off x="0" y="0"/>
                        <a:ext cx="7772400" cy="652463"/>
                        <a:chOff x="3936388" y="2566450"/>
                        <a:chExt cx="4319225" cy="1291350"/>
                      </a:xfrm>
                    </wpg:grpSpPr>
                    <wps:wsp>
                      <wps:cNvPr id="5" name="Freeform 5"/>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6" name="Right Triangle 6"/>
                      <wps:cNvSpPr/>
                      <wps:spPr>
                        <a:xfrm rot="10800000" flipH="1">
                          <a:off x="3936388" y="2566650"/>
                          <a:ext cx="4319100" cy="1238400"/>
                        </a:xfrm>
                        <a:prstGeom prst="rtTriangle">
                          <a:avLst/>
                        </a:prstGeom>
                        <a:solidFill>
                          <a:srgbClr val="31394D"/>
                        </a:solidFill>
                        <a:ln>
                          <a:noFill/>
                        </a:ln>
                      </wps:spPr>
                      <wps:txbx>
                        <w:txbxContent>
                          <w:p w:rsidR="00AE6C5F" w:rsidRDefault="00AE6C5F">
                            <w:pPr>
                              <w:ind w:left="0" w:right="0"/>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72400" cy="65246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72400" cy="652463"/>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1790"/>
    <w:multiLevelType w:val="multilevel"/>
    <w:tmpl w:val="5A50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173C3"/>
    <w:multiLevelType w:val="multilevel"/>
    <w:tmpl w:val="C07CD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65237"/>
    <w:multiLevelType w:val="multilevel"/>
    <w:tmpl w:val="BE44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5F"/>
    <w:rsid w:val="00AE6C5F"/>
    <w:rsid w:val="00E5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F37B"/>
  <w15:docId w15:val="{377784ED-CCB3-40E4-8311-FEDB4DE7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color w:val="666666"/>
        <w:sz w:val="22"/>
        <w:szCs w:val="22"/>
        <w:lang w:val="en-GB" w:eastAsia="en-GB" w:bidi="ar-SA"/>
      </w:rPr>
    </w:rPrDefault>
    <w:pPrDefault>
      <w:pPr>
        <w:ind w:left="360" w:right="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Merriweather" w:eastAsia="Merriweather" w:hAnsi="Merriweather" w:cs="Merriweather"/>
      <w:b/>
      <w:color w:val="31394D"/>
      <w:sz w:val="28"/>
      <w:szCs w:val="28"/>
    </w:rPr>
  </w:style>
  <w:style w:type="paragraph" w:styleId="Heading2">
    <w:name w:val="heading 2"/>
    <w:basedOn w:val="Normal"/>
    <w:next w:val="Normal"/>
    <w:pPr>
      <w:keepNext/>
      <w:keepLines/>
      <w:spacing w:before="200"/>
      <w:outlineLvl w:val="1"/>
    </w:pPr>
    <w:rPr>
      <w:rFonts w:ascii="Merriweather" w:eastAsia="Merriweather" w:hAnsi="Merriweather" w:cs="Merriweather"/>
      <w:color w:val="D9C4B1"/>
      <w:sz w:val="28"/>
      <w:szCs w:val="28"/>
    </w:rPr>
  </w:style>
  <w:style w:type="paragraph" w:styleId="Heading3">
    <w:name w:val="heading 3"/>
    <w:basedOn w:val="Normal"/>
    <w:next w:val="Normal"/>
    <w:pPr>
      <w:keepNext/>
      <w:keepLines/>
      <w:spacing w:before="200"/>
      <w:outlineLvl w:val="2"/>
    </w:pPr>
    <w:rPr>
      <w:color w:val="31394D"/>
      <w:sz w:val="28"/>
      <w:szCs w:val="28"/>
    </w:rPr>
  </w:style>
  <w:style w:type="paragraph" w:styleId="Heading4">
    <w:name w:val="heading 4"/>
    <w:basedOn w:val="Normal"/>
    <w:next w:val="Normal"/>
    <w:pPr>
      <w:keepNext/>
      <w:keepLines/>
      <w:outlineLvl w:val="3"/>
    </w:pPr>
    <w:rPr>
      <w:color w:val="31394D"/>
      <w:sz w:val="18"/>
      <w:szCs w:val="18"/>
    </w:rPr>
  </w:style>
  <w:style w:type="paragraph" w:styleId="Heading5">
    <w:name w:val="heading 5"/>
    <w:basedOn w:val="Normal"/>
    <w:next w:val="Normal"/>
    <w:pPr>
      <w:keepNext/>
      <w:keepLines/>
      <w:spacing w:before="240" w:after="80"/>
      <w:outlineLvl w:val="4"/>
    </w:pPr>
  </w:style>
  <w:style w:type="paragraph" w:styleId="Heading6">
    <w:name w:val="heading 6"/>
    <w:basedOn w:val="Normal"/>
    <w:next w:val="Normal"/>
    <w:pPr>
      <w:keepNext/>
      <w:keepLines/>
      <w:spacing w:before="240" w:after="8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76" w:lineRule="auto"/>
      <w:ind w:left="0"/>
    </w:pPr>
    <w:rPr>
      <w:rFonts w:ascii="Merriweather" w:eastAsia="Merriweather" w:hAnsi="Merriweather" w:cs="Merriweather"/>
      <w:b/>
      <w:color w:val="31394D"/>
      <w:sz w:val="60"/>
      <w:szCs w:val="60"/>
    </w:rPr>
  </w:style>
  <w:style w:type="paragraph" w:styleId="Subtitle">
    <w:name w:val="Subtitle"/>
    <w:basedOn w:val="Normal"/>
    <w:next w:val="Normal"/>
    <w:pPr>
      <w:keepNext/>
      <w:keepLines/>
      <w:spacing w:line="276" w:lineRule="auto"/>
    </w:pPr>
    <w:rPr>
      <w:rFonts w:ascii="Merriweather" w:eastAsia="Merriweather" w:hAnsi="Merriweather" w:cs="Merriweather"/>
      <w:color w:val="D9C4B1"/>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67A1"/>
    <w:pPr>
      <w:tabs>
        <w:tab w:val="center" w:pos="4513"/>
        <w:tab w:val="right" w:pos="9026"/>
      </w:tabs>
    </w:pPr>
  </w:style>
  <w:style w:type="character" w:customStyle="1" w:styleId="HeaderChar">
    <w:name w:val="Header Char"/>
    <w:basedOn w:val="DefaultParagraphFont"/>
    <w:link w:val="Header"/>
    <w:uiPriority w:val="99"/>
    <w:rsid w:val="00E567A1"/>
  </w:style>
  <w:style w:type="paragraph" w:styleId="Footer">
    <w:name w:val="footer"/>
    <w:basedOn w:val="Normal"/>
    <w:link w:val="FooterChar"/>
    <w:uiPriority w:val="99"/>
    <w:unhideWhenUsed/>
    <w:rsid w:val="00E567A1"/>
    <w:pPr>
      <w:tabs>
        <w:tab w:val="center" w:pos="4513"/>
        <w:tab w:val="right" w:pos="9026"/>
      </w:tabs>
    </w:pPr>
  </w:style>
  <w:style w:type="character" w:customStyle="1" w:styleId="FooterChar">
    <w:name w:val="Footer Char"/>
    <w:basedOn w:val="DefaultParagraphFont"/>
    <w:link w:val="Footer"/>
    <w:uiPriority w:val="99"/>
    <w:rsid w:val="00E5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xOZfY66ew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89F9EE85</Template>
  <TotalTime>1</TotalTime>
  <Pages>6</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Lewis</dc:creator>
  <cp:lastModifiedBy>David Lewis</cp:lastModifiedBy>
  <cp:revision>2</cp:revision>
  <dcterms:created xsi:type="dcterms:W3CDTF">2020-03-13T09:47:00Z</dcterms:created>
  <dcterms:modified xsi:type="dcterms:W3CDTF">2020-03-13T09:47:00Z</dcterms:modified>
</cp:coreProperties>
</file>